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1FC76B64" w14:textId="77777777" w:rsidTr="0041512A">
        <w:tc>
          <w:tcPr>
            <w:tcW w:w="2263" w:type="dxa"/>
          </w:tcPr>
          <w:p w14:paraId="02C28B79" w14:textId="6AD825C3" w:rsidR="0041512A" w:rsidRDefault="00413093" w:rsidP="0041512A">
            <w:pPr>
              <w:spacing w:before="120" w:after="120"/>
            </w:pPr>
            <w:hyperlink r:id="rId5" w:history="1">
              <w:r w:rsidR="009931F9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7C6D5BC6" w14:textId="77777777" w:rsidR="0041512A" w:rsidRPr="00F850A2" w:rsidRDefault="00F72F90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Campeggio</w:t>
            </w:r>
            <w:r w:rsidR="00F73C6C">
              <w:rPr>
                <w:b/>
                <w:color w:val="006600"/>
                <w:sz w:val="40"/>
                <w:szCs w:val="40"/>
                <w:u w:val="none"/>
              </w:rPr>
              <w:t xml:space="preserve"> temporaneo</w:t>
            </w:r>
          </w:p>
        </w:tc>
        <w:tc>
          <w:tcPr>
            <w:tcW w:w="1979" w:type="dxa"/>
          </w:tcPr>
          <w:p w14:paraId="0A66AB54" w14:textId="3E21D2C3" w:rsidR="0041512A" w:rsidRPr="0041512A" w:rsidRDefault="00413093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5E91F73E" w14:textId="77777777" w:rsidTr="0041512A">
        <w:tc>
          <w:tcPr>
            <w:tcW w:w="9629" w:type="dxa"/>
            <w:gridSpan w:val="3"/>
          </w:tcPr>
          <w:p w14:paraId="406FA5CF" w14:textId="11CA0A56" w:rsidR="00F33A15" w:rsidRPr="00077E14" w:rsidRDefault="00077E14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077E14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1638BECF" w14:textId="77777777" w:rsidR="00F73C6C" w:rsidRPr="002A3524" w:rsidRDefault="00F73C6C" w:rsidP="00F73C6C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2A352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È un’azienda ricettiva all'aria aperta a gestione unitaria, aperta al pubblico, che, in aree recintate e attrezzate, fornisce alloggio in propri allestimenti o offre ospitalità in piazzole attrezzate alla sosta e al rimessaggio di tende o altri mezzi di pernottamento mobili di proprietà di turisti.</w:t>
            </w:r>
          </w:p>
          <w:p w14:paraId="19FCBF0D" w14:textId="77777777" w:rsidR="00F73C6C" w:rsidRPr="002A3524" w:rsidRDefault="00F73C6C" w:rsidP="00F73C6C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2A352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 campeggi temporanei sono organizzati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2A352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in occasione di eventi a carattere straordinario, situati in aree pubbliche o private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103A23E0" w14:textId="77777777" w:rsidR="00F72F90" w:rsidRPr="00077E14" w:rsidRDefault="00F72F90" w:rsidP="00F72F90">
            <w:pPr>
              <w:ind w:left="174" w:right="312"/>
              <w:jc w:val="both"/>
              <w:rPr>
                <w:b/>
                <w:color w:val="FF0000"/>
                <w:u w:val="none"/>
              </w:rPr>
            </w:pPr>
          </w:p>
          <w:p w14:paraId="217F0D29" w14:textId="77777777" w:rsidR="00F73C6C" w:rsidRPr="00077E14" w:rsidRDefault="00F73C6C" w:rsidP="00F73C6C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077E14">
              <w:rPr>
                <w:b/>
                <w:color w:val="C00000"/>
                <w:u w:val="none"/>
              </w:rPr>
              <w:t>Programmazione economica</w:t>
            </w:r>
          </w:p>
          <w:p w14:paraId="2228ADFF" w14:textId="77777777" w:rsidR="00F73C6C" w:rsidRDefault="00F73C6C" w:rsidP="00F73C6C">
            <w:pPr>
              <w:spacing w:before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A3524">
              <w:rPr>
                <w:color w:val="auto"/>
                <w:sz w:val="20"/>
                <w:szCs w:val="20"/>
                <w:u w:val="none"/>
              </w:rPr>
              <w:t>Trattandosi di attività straordinarie No-Profit, non sono assoggettate ad alcuna programmazione</w:t>
            </w:r>
            <w:r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0DA7C9C9" w14:textId="77777777" w:rsidR="00F73C6C" w:rsidRPr="00077E14" w:rsidRDefault="00F73C6C" w:rsidP="00F73C6C">
            <w:pPr>
              <w:pStyle w:val="Paragrafoelenco"/>
              <w:ind w:left="644"/>
              <w:rPr>
                <w:b/>
                <w:color w:val="0000FF"/>
              </w:rPr>
            </w:pPr>
          </w:p>
          <w:p w14:paraId="78F4D5B2" w14:textId="77777777" w:rsidR="00F73C6C" w:rsidRPr="00077E14" w:rsidRDefault="00F73C6C" w:rsidP="00F73C6C">
            <w:pPr>
              <w:ind w:left="164"/>
              <w:rPr>
                <w:b/>
                <w:color w:val="C00000"/>
                <w:u w:val="none"/>
              </w:rPr>
            </w:pPr>
            <w:r w:rsidRPr="00077E14">
              <w:rPr>
                <w:b/>
                <w:color w:val="C00000"/>
                <w:u w:val="none"/>
              </w:rPr>
              <w:t>Requisiti soggettivi</w:t>
            </w:r>
          </w:p>
          <w:p w14:paraId="63B6F7E9" w14:textId="77777777" w:rsidR="00F73C6C" w:rsidRPr="002A3524" w:rsidRDefault="00F73C6C" w:rsidP="00F73C6C">
            <w:pPr>
              <w:spacing w:before="120"/>
              <w:ind w:left="164"/>
              <w:jc w:val="both"/>
              <w:rPr>
                <w:b/>
                <w:i/>
                <w:color w:val="auto"/>
                <w:sz w:val="20"/>
                <w:szCs w:val="20"/>
                <w:u w:val="none"/>
              </w:rPr>
            </w:pPr>
            <w:r w:rsidRPr="002A3524">
              <w:rPr>
                <w:color w:val="auto"/>
                <w:sz w:val="20"/>
                <w:szCs w:val="20"/>
                <w:u w:val="none"/>
              </w:rPr>
              <w:t>Trattandosi di attività straordinarie No-Profit, non necessitano di particolari requisiti soggettivi</w:t>
            </w:r>
            <w:r w:rsidRPr="002A3524">
              <w:rPr>
                <w:b/>
                <w:i/>
                <w:color w:val="auto"/>
                <w:sz w:val="20"/>
                <w:szCs w:val="20"/>
                <w:u w:val="none"/>
              </w:rPr>
              <w:t>.</w:t>
            </w:r>
          </w:p>
          <w:p w14:paraId="7D51955C" w14:textId="77777777" w:rsidR="00F73C6C" w:rsidRPr="00077E14" w:rsidRDefault="00F73C6C" w:rsidP="00F73C6C">
            <w:pPr>
              <w:pStyle w:val="Paragrafoelenco"/>
              <w:ind w:left="644"/>
              <w:rPr>
                <w:b/>
                <w:color w:val="C00000"/>
                <w:u w:val="none"/>
              </w:rPr>
            </w:pPr>
          </w:p>
          <w:p w14:paraId="3DDBE3F5" w14:textId="77777777" w:rsidR="008162B9" w:rsidRPr="00077E14" w:rsidRDefault="008162B9" w:rsidP="008162B9">
            <w:pPr>
              <w:spacing w:after="120"/>
              <w:ind w:left="174" w:right="312"/>
              <w:jc w:val="both"/>
              <w:rPr>
                <w:b/>
                <w:color w:val="C00000"/>
                <w:u w:val="none"/>
              </w:rPr>
            </w:pPr>
            <w:r w:rsidRPr="00077E14">
              <w:rPr>
                <w:b/>
                <w:color w:val="C00000"/>
                <w:u w:val="none"/>
              </w:rPr>
              <w:t>Requisiti oggettivi</w:t>
            </w:r>
          </w:p>
          <w:p w14:paraId="37C4F975" w14:textId="77777777" w:rsidR="00F73C6C" w:rsidRPr="00F73C6C" w:rsidRDefault="00F73C6C" w:rsidP="00F73C6C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F73C6C">
              <w:rPr>
                <w:color w:val="auto"/>
                <w:sz w:val="20"/>
                <w:szCs w:val="20"/>
                <w:u w:val="none"/>
              </w:rPr>
              <w:t>Nei campeggi temporanei è consentita la presenza di allestimenti minimi utilizzabili da clienti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F73C6C">
              <w:rPr>
                <w:color w:val="auto"/>
                <w:sz w:val="20"/>
                <w:szCs w:val="20"/>
                <w:u w:val="none"/>
              </w:rPr>
              <w:t>sprovvisti di mezzi propri di pernottamento, purché in misura non superiore al trenta per cento del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F73C6C">
              <w:rPr>
                <w:color w:val="auto"/>
                <w:sz w:val="20"/>
                <w:szCs w:val="20"/>
                <w:u w:val="none"/>
              </w:rPr>
              <w:t>numero complessivo delle piazzole autorizzate.</w:t>
            </w:r>
          </w:p>
          <w:p w14:paraId="1AA2D3F9" w14:textId="77777777" w:rsidR="00F73C6C" w:rsidRPr="00F73C6C" w:rsidRDefault="00F73C6C" w:rsidP="00F73C6C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F73C6C">
              <w:rPr>
                <w:color w:val="auto"/>
                <w:sz w:val="20"/>
                <w:szCs w:val="20"/>
                <w:u w:val="none"/>
              </w:rPr>
              <w:t>L'allestimento di campeggi all'interno di parchi regionali è consentito solo se compatibile con 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F73C6C">
              <w:rPr>
                <w:color w:val="auto"/>
                <w:sz w:val="20"/>
                <w:szCs w:val="20"/>
                <w:u w:val="none"/>
              </w:rPr>
              <w:t>previsioni dei piani territoriali di coordinamento dei parchi stessi.</w:t>
            </w:r>
          </w:p>
          <w:p w14:paraId="73AAC275" w14:textId="77777777" w:rsidR="00F73C6C" w:rsidRPr="00F73C6C" w:rsidRDefault="00F73C6C" w:rsidP="00F73C6C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F73C6C">
              <w:rPr>
                <w:color w:val="auto"/>
                <w:sz w:val="20"/>
                <w:szCs w:val="20"/>
                <w:u w:val="none"/>
              </w:rPr>
              <w:t>L'ente gestore può stabilire modalità specifiche da osservare per la realizzazione delle recinzioni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F73C6C">
              <w:rPr>
                <w:color w:val="auto"/>
                <w:sz w:val="20"/>
                <w:szCs w:val="20"/>
                <w:u w:val="none"/>
              </w:rPr>
              <w:t>per lo svolgimento dell'attività ricettiva.</w:t>
            </w:r>
          </w:p>
          <w:p w14:paraId="78F2FBE2" w14:textId="77777777" w:rsidR="00F73C6C" w:rsidRPr="00F73C6C" w:rsidRDefault="00F73C6C" w:rsidP="00F73C6C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F73C6C">
              <w:rPr>
                <w:color w:val="auto"/>
                <w:sz w:val="20"/>
                <w:szCs w:val="20"/>
                <w:u w:val="none"/>
              </w:rPr>
              <w:t>Le attrezzature e gli impianti devono essere in buone condizioni di funzionamento; la qualità degli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F73C6C">
              <w:rPr>
                <w:color w:val="auto"/>
                <w:sz w:val="20"/>
                <w:szCs w:val="20"/>
                <w:u w:val="none"/>
              </w:rPr>
              <w:t>arredi deve essere adeguata al livello di classificazione, nonché alle norme di sicurezza.</w:t>
            </w:r>
          </w:p>
          <w:p w14:paraId="1CB61732" w14:textId="77777777" w:rsidR="008162B9" w:rsidRPr="00F73C6C" w:rsidRDefault="00F73C6C" w:rsidP="00F73C6C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F73C6C">
              <w:rPr>
                <w:color w:val="auto"/>
                <w:sz w:val="20"/>
                <w:szCs w:val="20"/>
                <w:u w:val="none"/>
              </w:rPr>
              <w:t>Deve essere assicurato il rispetto delle norme igienico-sanitarie e, in particolare, un adeguato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F73C6C">
              <w:rPr>
                <w:color w:val="auto"/>
                <w:sz w:val="20"/>
                <w:szCs w:val="20"/>
                <w:u w:val="none"/>
              </w:rPr>
              <w:t xml:space="preserve">rapporto tra </w:t>
            </w:r>
            <w:r w:rsidRPr="00F73C6C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servizi igienici e numero di utenti</w:t>
            </w:r>
            <w:r w:rsidRPr="00F73C6C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10A4AA04" w14:textId="77777777" w:rsidR="00F73C6C" w:rsidRPr="00077E14" w:rsidRDefault="00F73C6C" w:rsidP="00F73C6C">
            <w:pPr>
              <w:ind w:left="174"/>
              <w:jc w:val="both"/>
              <w:rPr>
                <w:rFonts w:eastAsia="Times New Roman"/>
                <w:b/>
                <w:color w:val="FF0000"/>
                <w:u w:val="none"/>
                <w:lang w:eastAsia="it-IT"/>
              </w:rPr>
            </w:pPr>
          </w:p>
          <w:p w14:paraId="181B0E8F" w14:textId="77777777" w:rsidR="00F72F90" w:rsidRPr="00077E14" w:rsidRDefault="00F72F90" w:rsidP="00E72770">
            <w:pPr>
              <w:pStyle w:val="Rientrocorpodeltesto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r w:rsidRPr="00077E14">
              <w:rPr>
                <w:rStyle w:val="Collegamentoipertestuale"/>
                <w:b/>
                <w:color w:val="C00000"/>
                <w:u w:val="none"/>
              </w:rPr>
              <w:t>Modalità di esercizio</w:t>
            </w:r>
          </w:p>
          <w:p w14:paraId="610A32C7" w14:textId="77777777" w:rsidR="00F73C6C" w:rsidRPr="002A3524" w:rsidRDefault="00F73C6C" w:rsidP="00F73C6C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A3524">
              <w:rPr>
                <w:color w:val="auto"/>
                <w:sz w:val="20"/>
                <w:szCs w:val="20"/>
                <w:u w:val="none"/>
              </w:rPr>
              <w:t xml:space="preserve">L'allestimento di campeggi temporanei deve essere preventivamente comunicato al SUAP con </w:t>
            </w:r>
            <w:r w:rsidRPr="002A3524">
              <w:rPr>
                <w:b/>
                <w:color w:val="auto"/>
                <w:sz w:val="20"/>
                <w:szCs w:val="20"/>
                <w:u w:val="none"/>
              </w:rPr>
              <w:t>SCIA</w:t>
            </w:r>
            <w:r w:rsidRPr="002A3524">
              <w:rPr>
                <w:color w:val="auto"/>
                <w:sz w:val="20"/>
                <w:szCs w:val="20"/>
                <w:u w:val="none"/>
              </w:rPr>
              <w:t>, indicando il periodo definito. Il Responsabile del SUAP informa l'autorità sanitaria locale per i dovuti controlli.</w:t>
            </w:r>
          </w:p>
          <w:p w14:paraId="5F4AEA49" w14:textId="77777777" w:rsidR="00F73C6C" w:rsidRPr="002A3524" w:rsidRDefault="00F73C6C" w:rsidP="00F73C6C">
            <w:pPr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A3524">
              <w:rPr>
                <w:color w:val="auto"/>
                <w:sz w:val="20"/>
                <w:szCs w:val="20"/>
                <w:u w:val="none"/>
              </w:rPr>
              <w:t xml:space="preserve">Gli enti, le associazioni e le organizzazioni senza fini di lucro devono provvedere ad una adeguata copertura assicurativa, da allegare alla domanda di autorizzazione all'esercizio, di cui costituisce requisito indispensabile per la presentazione della </w:t>
            </w:r>
            <w:r w:rsidRPr="002A3524">
              <w:rPr>
                <w:b/>
                <w:color w:val="auto"/>
                <w:sz w:val="20"/>
                <w:szCs w:val="20"/>
                <w:u w:val="none"/>
              </w:rPr>
              <w:t>SCIA</w:t>
            </w:r>
            <w:r w:rsidRPr="002A3524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580AE53C" w14:textId="77777777" w:rsidR="00F72F90" w:rsidRDefault="00F72F90" w:rsidP="00F72F90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35090C29" w14:textId="77777777" w:rsidR="00E72770" w:rsidRPr="00077E14" w:rsidRDefault="00E72770" w:rsidP="00E72770">
            <w:pPr>
              <w:pStyle w:val="Rientrocorpodeltesto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r w:rsidRPr="00077E14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372440CF" w14:textId="77777777" w:rsidR="00F73C6C" w:rsidRPr="00F73C6C" w:rsidRDefault="00F73C6C" w:rsidP="00F73C6C">
            <w:pPr>
              <w:spacing w:after="120"/>
              <w:ind w:left="164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F73C6C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Chi intende attivare una struttura ricettiva di Campeggio temporaneo No-Profit</w:t>
            </w:r>
            <w:r w:rsidRPr="00F73C6C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F73C6C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deve presentare al SUAP, tramite PEC, una SCIA</w:t>
            </w:r>
            <w:r w:rsidRPr="00F73C6C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Pr="00F73C6C">
              <w:rPr>
                <w:color w:val="000000"/>
                <w:sz w:val="20"/>
                <w:szCs w:val="20"/>
                <w:u w:val="none"/>
              </w:rPr>
              <w:t>mediante la compilazione del seguente modulo comunale.</w:t>
            </w:r>
          </w:p>
          <w:p w14:paraId="04D71CB8" w14:textId="78220C95" w:rsidR="00F73C6C" w:rsidRPr="00E55E86" w:rsidRDefault="00E55E86" w:rsidP="00F73C6C">
            <w:pPr>
              <w:ind w:left="164"/>
              <w:jc w:val="both"/>
              <w:rPr>
                <w:rStyle w:val="Collegamentoipertestuale"/>
                <w:b/>
                <w:sz w:val="20"/>
                <w:szCs w:val="20"/>
              </w:rPr>
            </w:pPr>
            <w:r>
              <w:rPr>
                <w:rStyle w:val="Collegamentoipertestuale"/>
                <w:b/>
                <w:sz w:val="20"/>
                <w:szCs w:val="20"/>
                <w:u w:val="none"/>
              </w:rPr>
              <w:fldChar w:fldCharType="begin"/>
            </w:r>
            <w:r w:rsidR="005B4733">
              <w:rPr>
                <w:rStyle w:val="Collegamentoipertestuale"/>
                <w:b/>
                <w:sz w:val="20"/>
                <w:szCs w:val="20"/>
                <w:u w:val="none"/>
              </w:rPr>
              <w:instrText>HYPERLINK "Modulistica/6ST%20SCIA%20Campeggio%20temporaneo-didattico.pdf"</w:instrText>
            </w:r>
            <w:r>
              <w:rPr>
                <w:rStyle w:val="Collegamentoipertestuale"/>
                <w:b/>
                <w:sz w:val="20"/>
                <w:szCs w:val="20"/>
                <w:u w:val="none"/>
              </w:rPr>
              <w:fldChar w:fldCharType="separate"/>
            </w:r>
            <w:r w:rsidR="00F73C6C" w:rsidRPr="00E55E86">
              <w:rPr>
                <w:rStyle w:val="Collegamentoipertestuale"/>
                <w:b/>
                <w:sz w:val="20"/>
                <w:szCs w:val="20"/>
              </w:rPr>
              <w:t>SCIA attivazione campeggio temporaneo</w:t>
            </w:r>
          </w:p>
          <w:p w14:paraId="4B757850" w14:textId="77777777" w:rsidR="00F73C6C" w:rsidRPr="00F73C6C" w:rsidRDefault="00E55E86" w:rsidP="00F73C6C">
            <w:pPr>
              <w:ind w:left="164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sz w:val="20"/>
                <w:szCs w:val="20"/>
                <w:u w:val="none"/>
              </w:rPr>
              <w:fldChar w:fldCharType="end"/>
            </w:r>
          </w:p>
          <w:p w14:paraId="74957B1D" w14:textId="77777777" w:rsidR="00F73C6C" w:rsidRPr="00F73C6C" w:rsidRDefault="00F73C6C" w:rsidP="00F73C6C">
            <w:pPr>
              <w:ind w:left="164"/>
              <w:jc w:val="both"/>
              <w:rPr>
                <w:sz w:val="20"/>
                <w:szCs w:val="20"/>
                <w:u w:val="none"/>
              </w:rPr>
            </w:pPr>
            <w:r w:rsidRPr="00077E1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F73C6C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Pr="00F73C6C">
              <w:rPr>
                <w:color w:val="auto"/>
                <w:sz w:val="20"/>
                <w:szCs w:val="20"/>
                <w:u w:val="none"/>
              </w:rPr>
              <w:t>Trattandosi di attività temporanea non si ravvisa la possibilità di modifiche o subingresso nell’attività.</w:t>
            </w:r>
          </w:p>
          <w:p w14:paraId="25A0F083" w14:textId="77777777" w:rsidR="00F73C6C" w:rsidRPr="00F73C6C" w:rsidRDefault="00F73C6C" w:rsidP="00F73C6C">
            <w:pPr>
              <w:ind w:left="164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</w:p>
          <w:p w14:paraId="2A379780" w14:textId="77777777" w:rsidR="00F73C6C" w:rsidRPr="00F73C6C" w:rsidRDefault="00F73C6C" w:rsidP="00F73C6C">
            <w:pPr>
              <w:ind w:left="164"/>
              <w:jc w:val="both"/>
              <w:rPr>
                <w:sz w:val="20"/>
                <w:szCs w:val="20"/>
                <w:u w:val="none"/>
              </w:rPr>
            </w:pPr>
            <w:r w:rsidRPr="00077E1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Cessazione o sospensione attività </w:t>
            </w:r>
            <w:r w:rsidR="00E55E86" w:rsidRPr="00077E1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-</w:t>
            </w:r>
            <w:r w:rsidR="00E55E86" w:rsidRPr="00F73C6C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="00E55E86" w:rsidRPr="00E55E8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Trattandosi</w:t>
            </w:r>
            <w:r w:rsidRPr="00E55E86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F73C6C">
              <w:rPr>
                <w:color w:val="auto"/>
                <w:sz w:val="20"/>
                <w:szCs w:val="20"/>
                <w:u w:val="none"/>
              </w:rPr>
              <w:t>di attività temporanea la cessazione è già determinata.</w:t>
            </w:r>
          </w:p>
          <w:p w14:paraId="31BBCF09" w14:textId="77777777" w:rsidR="00F73C6C" w:rsidRDefault="00F73C6C" w:rsidP="00F73C6C">
            <w:pPr>
              <w:pStyle w:val="Rientrocorpodeltesto"/>
              <w:spacing w:after="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43A15C74" w14:textId="15DD861C" w:rsidR="00077E14" w:rsidRPr="00A960D3" w:rsidRDefault="00077E14" w:rsidP="00077E14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5B4733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"Definizioni/9ST%20Tariffe%20turismo%20e%20attività%20ricettive.docx"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2064ABBA" w14:textId="77777777" w:rsidR="00077E14" w:rsidRDefault="00077E14" w:rsidP="00077E14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511CD363" w14:textId="77777777" w:rsidR="00077E14" w:rsidRPr="00744B7C" w:rsidRDefault="00077E14" w:rsidP="00077E14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59E66E7B" w14:textId="186175F6" w:rsidR="00077E14" w:rsidRPr="00386C01" w:rsidRDefault="00077E14" w:rsidP="00077E14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r>
              <w:rPr>
                <w:b/>
                <w:color w:val="0000FF"/>
              </w:rPr>
              <w:fldChar w:fldCharType="begin"/>
            </w:r>
            <w:r w:rsidR="005B4733">
              <w:rPr>
                <w:b/>
                <w:color w:val="0000FF"/>
              </w:rPr>
              <w:instrText>HYPERLINK "Definizioni/10ST%20Tempistica.pdf"</w:instrText>
            </w:r>
            <w:r>
              <w:rPr>
                <w:b/>
                <w:color w:val="0000FF"/>
              </w:rPr>
              <w:fldChar w:fldCharType="separate"/>
            </w:r>
            <w:r w:rsidRPr="00386C01">
              <w:rPr>
                <w:rStyle w:val="Collegamentoipertestuale"/>
                <w:b/>
              </w:rPr>
              <w:t>Tempistica</w:t>
            </w:r>
          </w:p>
          <w:p w14:paraId="782945A3" w14:textId="77777777" w:rsidR="00077E14" w:rsidRDefault="00077E14" w:rsidP="00077E14">
            <w:pPr>
              <w:autoSpaceDE w:val="0"/>
              <w:autoSpaceDN w:val="0"/>
              <w:adjustRightInd w:val="0"/>
              <w:ind w:left="164" w:right="312"/>
              <w:jc w:val="both"/>
            </w:pPr>
            <w:r>
              <w:rPr>
                <w:b/>
                <w:color w:val="0000FF"/>
              </w:rPr>
              <w:fldChar w:fldCharType="end"/>
            </w:r>
          </w:p>
          <w:p w14:paraId="78E61918" w14:textId="77777777" w:rsidR="00077E14" w:rsidRDefault="00077E14" w:rsidP="00077E14">
            <w:pPr>
              <w:pStyle w:val="Rientrocorpodeltesto"/>
              <w:spacing w:after="0"/>
              <w:ind w:left="164"/>
              <w:jc w:val="both"/>
            </w:pPr>
          </w:p>
          <w:p w14:paraId="62618010" w14:textId="68A7AC99" w:rsidR="00077E14" w:rsidRPr="00BD6267" w:rsidRDefault="00413093" w:rsidP="00077E14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7" w:history="1">
              <w:r w:rsidR="00077E14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077E14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077E14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077E14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="00A854D5" w:rsidRPr="00A5496B">
                <w:rPr>
                  <w:rStyle w:val="Collegamentoipertestuale"/>
                  <w:b/>
                  <w:sz w:val="20"/>
                  <w:szCs w:val="20"/>
                </w:rPr>
                <w:t>TUR parte 7^</w:t>
              </w:r>
            </w:hyperlink>
            <w:r w:rsidR="00A854D5" w:rsidRPr="00945B26">
              <w:rPr>
                <w:color w:val="0000FF"/>
                <w:sz w:val="20"/>
                <w:szCs w:val="20"/>
              </w:rPr>
              <w:t xml:space="preserve"> </w:t>
            </w:r>
            <w:r w:rsidR="00E10814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E10814" w:rsidRPr="00BD6267">
              <w:rPr>
                <w:color w:val="auto"/>
                <w:sz w:val="20"/>
                <w:szCs w:val="20"/>
                <w:u w:val="none"/>
              </w:rPr>
              <w:t xml:space="preserve">Settore </w:t>
            </w:r>
            <w:r w:rsidR="00E10814">
              <w:rPr>
                <w:color w:val="auto"/>
                <w:sz w:val="20"/>
                <w:szCs w:val="20"/>
                <w:u w:val="none"/>
              </w:rPr>
              <w:t xml:space="preserve">attività </w:t>
            </w:r>
            <w:r w:rsidR="00E10814" w:rsidRPr="00BD6267">
              <w:rPr>
                <w:color w:val="auto"/>
                <w:sz w:val="20"/>
                <w:szCs w:val="20"/>
                <w:u w:val="none"/>
              </w:rPr>
              <w:t>turistic</w:t>
            </w:r>
            <w:r w:rsidR="00E10814">
              <w:rPr>
                <w:color w:val="auto"/>
                <w:sz w:val="20"/>
                <w:szCs w:val="20"/>
                <w:u w:val="none"/>
              </w:rPr>
              <w:t>he ricettive</w:t>
            </w:r>
            <w:r w:rsidR="00E10814" w:rsidRPr="00BD6267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517ADDC6" w14:textId="77777777" w:rsidR="00077E14" w:rsidRDefault="00077E14" w:rsidP="00077E14">
            <w:pPr>
              <w:pStyle w:val="Paragrafoelenco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719AC759" w14:textId="2D911660" w:rsidR="00077E14" w:rsidRDefault="00077E14" w:rsidP="00077E14">
            <w:pPr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hyperlink r:id="rId9" w:history="1">
              <w:r w:rsidR="007C44DC" w:rsidRPr="001A3AD3">
                <w:rPr>
                  <w:rStyle w:val="Collegamentoipertestuale"/>
                  <w:b/>
                  <w:bCs/>
                  <w:sz w:val="20"/>
                  <w:szCs w:val="20"/>
                </w:rPr>
                <w:t>Legge Regionale n. 27 del 2015</w:t>
              </w:r>
            </w:hyperlink>
            <w:r w:rsidR="007C44DC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            </w:t>
            </w:r>
            <w:hyperlink r:id="rId10" w:history="1">
              <w:r w:rsidRPr="00F72F90">
                <w:rPr>
                  <w:rStyle w:val="Collegamentoipertestuale"/>
                  <w:b/>
                  <w:bCs/>
                  <w:sz w:val="20"/>
                  <w:szCs w:val="20"/>
                </w:rPr>
                <w:t>Regolamento Regionale 19 gennaio 2018, n. 3</w:t>
              </w:r>
            </w:hyperlink>
          </w:p>
          <w:p w14:paraId="4D9EC254" w14:textId="77777777" w:rsidR="00EA785A" w:rsidRPr="0041512A" w:rsidRDefault="00EA785A" w:rsidP="00EA785A">
            <w:pPr>
              <w:pStyle w:val="Rientrocorpodeltesto"/>
              <w:spacing w:after="0"/>
              <w:ind w:left="164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20C6E07D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35BA5"/>
    <w:rsid w:val="00077E14"/>
    <w:rsid w:val="000A46C3"/>
    <w:rsid w:val="000E4B7E"/>
    <w:rsid w:val="000F3ADF"/>
    <w:rsid w:val="00112873"/>
    <w:rsid w:val="00117F1E"/>
    <w:rsid w:val="00202499"/>
    <w:rsid w:val="002210DE"/>
    <w:rsid w:val="00222871"/>
    <w:rsid w:val="0023487B"/>
    <w:rsid w:val="00276654"/>
    <w:rsid w:val="002A5D7C"/>
    <w:rsid w:val="002A6285"/>
    <w:rsid w:val="002B375D"/>
    <w:rsid w:val="00342D58"/>
    <w:rsid w:val="0036449F"/>
    <w:rsid w:val="00372178"/>
    <w:rsid w:val="003A4A32"/>
    <w:rsid w:val="003C5FBA"/>
    <w:rsid w:val="003E534A"/>
    <w:rsid w:val="00413093"/>
    <w:rsid w:val="0041512A"/>
    <w:rsid w:val="004257E1"/>
    <w:rsid w:val="0044342C"/>
    <w:rsid w:val="0045341A"/>
    <w:rsid w:val="004704B5"/>
    <w:rsid w:val="00493BD0"/>
    <w:rsid w:val="004B299B"/>
    <w:rsid w:val="004F3CF0"/>
    <w:rsid w:val="004F59C5"/>
    <w:rsid w:val="004F667B"/>
    <w:rsid w:val="00506E58"/>
    <w:rsid w:val="00563374"/>
    <w:rsid w:val="005678FC"/>
    <w:rsid w:val="005930C1"/>
    <w:rsid w:val="005B4733"/>
    <w:rsid w:val="005C68B2"/>
    <w:rsid w:val="005C720B"/>
    <w:rsid w:val="00621A5C"/>
    <w:rsid w:val="00631A20"/>
    <w:rsid w:val="00651378"/>
    <w:rsid w:val="00692827"/>
    <w:rsid w:val="006B29D2"/>
    <w:rsid w:val="006B3A13"/>
    <w:rsid w:val="006C7151"/>
    <w:rsid w:val="00705665"/>
    <w:rsid w:val="00713CEA"/>
    <w:rsid w:val="00722092"/>
    <w:rsid w:val="00726675"/>
    <w:rsid w:val="00737DA2"/>
    <w:rsid w:val="00746376"/>
    <w:rsid w:val="0075509D"/>
    <w:rsid w:val="00784027"/>
    <w:rsid w:val="007C44DC"/>
    <w:rsid w:val="008162B9"/>
    <w:rsid w:val="0082478D"/>
    <w:rsid w:val="00855A1D"/>
    <w:rsid w:val="00897F79"/>
    <w:rsid w:val="00945B26"/>
    <w:rsid w:val="00950C7F"/>
    <w:rsid w:val="009931F9"/>
    <w:rsid w:val="009A4645"/>
    <w:rsid w:val="009A4C35"/>
    <w:rsid w:val="00A06B50"/>
    <w:rsid w:val="00A854D5"/>
    <w:rsid w:val="00AA458C"/>
    <w:rsid w:val="00AE65BE"/>
    <w:rsid w:val="00B0731C"/>
    <w:rsid w:val="00B44D26"/>
    <w:rsid w:val="00B66F7C"/>
    <w:rsid w:val="00BB1354"/>
    <w:rsid w:val="00BF42AE"/>
    <w:rsid w:val="00C459E8"/>
    <w:rsid w:val="00C75D34"/>
    <w:rsid w:val="00CD592E"/>
    <w:rsid w:val="00D16B5E"/>
    <w:rsid w:val="00DC5DC3"/>
    <w:rsid w:val="00DF0435"/>
    <w:rsid w:val="00E10814"/>
    <w:rsid w:val="00E25843"/>
    <w:rsid w:val="00E55E86"/>
    <w:rsid w:val="00E660BB"/>
    <w:rsid w:val="00E72770"/>
    <w:rsid w:val="00EA785A"/>
    <w:rsid w:val="00EB1403"/>
    <w:rsid w:val="00ED540E"/>
    <w:rsid w:val="00EE371A"/>
    <w:rsid w:val="00F2381A"/>
    <w:rsid w:val="00F312D0"/>
    <w:rsid w:val="00F33A15"/>
    <w:rsid w:val="00F72F90"/>
    <w:rsid w:val="00F73C6C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CA41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alter\sportello%20unico\Progetto%20PUC\TUR\Parte%207%5e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Walter\sportello%20unico\Progetto%20PUC\PUC\5%20Procedimenti\Definizioni\Riferimenti%20normativi%20e%20di%20controllo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../PROCEDIMENTI.docx" TargetMode="External"/><Relationship Id="rId10" Type="http://schemas.openxmlformats.org/officeDocument/2006/relationships/hyperlink" Target="http://normelombardia.consiglio.regione.lombardia.it/NormeLombardia/Accessibile/main.aspx?exp_coll=rr002018011900003&amp;view=showdoc&amp;iddoc=rr002018011900003&amp;selnode=rr00201801190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elombardia.consiglio.regione.lombardia.it/normelombardia/Accessibile/main.aspx?exp_coll=lr002015100100027&amp;view=showdoc&amp;iddoc=lr002015100100027&amp;selnode=lr00201510010002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19</cp:revision>
  <dcterms:created xsi:type="dcterms:W3CDTF">2018-08-03T09:49:00Z</dcterms:created>
  <dcterms:modified xsi:type="dcterms:W3CDTF">2021-05-04T08:32:00Z</dcterms:modified>
</cp:coreProperties>
</file>